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3 -->
  <w:body>
    <w:p w:rsidR="003C596D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3C596D">
      <w:pPr>
        <w:pStyle w:val="BodyText"/>
        <w:spacing w:before="9" w:after="1"/>
        <w:rPr>
          <w:rFonts w:ascii="Times New Roman"/>
          <w:sz w:val="10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1418"/>
        <w:gridCol w:w="5668"/>
      </w:tblGrid>
      <w:tr>
        <w:tblPrEx>
          <w:tblW w:w="0" w:type="auto"/>
          <w:tblInd w:w="129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638"/>
        </w:trPr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C596D">
            <w:pPr>
              <w:pStyle w:val="TableParagraph"/>
              <w:tabs>
                <w:tab w:val="left" w:pos="1487"/>
                <w:tab w:val="left" w:pos="2906"/>
              </w:tabs>
              <w:spacing w:before="83" w:line="278" w:lineRule="auto"/>
              <w:ind w:left="69" w:right="4163"/>
              <w:rPr>
                <w:rFonts w:ascii="Arial" w:eastAsia="Arial" w:hAnsi="Arial" w:cs="Arial"/>
                <w:b/>
                <w:sz w:val="18"/>
                <w:szCs w:val="22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22"/>
                <w:lang w:val="en-US" w:eastAsia="en-US" w:bidi="ar-SA"/>
              </w:rPr>
              <w:t>Amendment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22"/>
                <w:lang w:val="en-US" w:eastAsia="en-US" w:bidi="ar-SA"/>
              </w:rPr>
              <w:tab/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22"/>
                <w:lang w:val="en-US" w:eastAsia="en-US" w:bidi="ar-SA"/>
              </w:rPr>
              <w:t>operation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22"/>
                <w:lang w:val="en-US" w:eastAsia="en-US" w:bidi="ar-SA"/>
              </w:rPr>
              <w:tab/>
              <w:t>Brief description number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22"/>
                <w:lang w:val="en-US" w:eastAsia="en-US" w:bidi="ar-SA"/>
              </w:rPr>
              <w:tab/>
              <w:t>from</w:t>
            </w:r>
          </w:p>
        </w:tc>
      </w:tr>
      <w:tr>
        <w:tblPrEx>
          <w:tblW w:w="0" w:type="auto"/>
          <w:tblInd w:w="12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861"/>
        </w:trPr>
        <w:tc>
          <w:tcPr>
            <w:tcW w:w="1418" w:type="dxa"/>
            <w:tcBorders>
              <w:top w:val="nil"/>
              <w:left w:val="nil"/>
            </w:tcBorders>
          </w:tcPr>
          <w:p w:rsidR="003C596D">
            <w:pPr>
              <w:pStyle w:val="TableParagraph"/>
              <w:spacing w:before="83"/>
              <w:ind w:left="69"/>
              <w:rPr>
                <w:rFonts w:ascii="Arial" w:eastAsia="Arial" w:hAnsi="Arial" w:cs="Arial"/>
                <w:b/>
                <w:sz w:val="18"/>
                <w:szCs w:val="22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sz w:val="18"/>
                <w:szCs w:val="22"/>
                <w:lang w:val="en-US" w:eastAsia="en-US" w:bidi="ar-SA"/>
              </w:rPr>
              <w:t>VC163</w:t>
            </w:r>
          </w:p>
        </w:tc>
        <w:tc>
          <w:tcPr>
            <w:tcW w:w="1418" w:type="dxa"/>
            <w:tcBorders>
              <w:top w:val="nil"/>
            </w:tcBorders>
          </w:tcPr>
          <w:p w:rsidR="003C596D">
            <w:pPr>
              <w:pStyle w:val="TableParagraph"/>
              <w:spacing w:before="83"/>
              <w:ind w:left="59"/>
              <w:rPr>
                <w:rFonts w:ascii="Arial" w:eastAsia="Arial" w:hAnsi="Arial" w:cs="Arial"/>
                <w:sz w:val="18"/>
                <w:szCs w:val="22"/>
                <w:lang w:val="en-US" w:eastAsia="en-US" w:bidi="ar-SA"/>
              </w:rPr>
            </w:pPr>
            <w:r>
              <w:rPr>
                <w:rFonts w:ascii="Arial" w:eastAsia="Arial" w:hAnsi="Arial" w:cs="Arial"/>
                <w:sz w:val="18"/>
                <w:szCs w:val="22"/>
                <w:lang w:val="en-US" w:eastAsia="en-US" w:bidi="ar-SA"/>
              </w:rPr>
              <w:t>16 AUG 2019</w:t>
            </w:r>
          </w:p>
        </w:tc>
        <w:tc>
          <w:tcPr>
            <w:tcW w:w="5668" w:type="dxa"/>
            <w:tcBorders>
              <w:top w:val="nil"/>
              <w:right w:val="nil"/>
            </w:tcBorders>
          </w:tcPr>
          <w:p w:rsidR="003C596D">
            <w:pPr>
              <w:pStyle w:val="TableParagraph"/>
              <w:spacing w:before="83" w:line="278" w:lineRule="auto"/>
              <w:ind w:left="60" w:right="365" w:hanging="1"/>
              <w:rPr>
                <w:rFonts w:ascii="Arial" w:eastAsia="Arial" w:hAnsi="Arial" w:cs="Arial"/>
                <w:sz w:val="18"/>
                <w:szCs w:val="22"/>
                <w:lang w:val="en-US" w:eastAsia="en-US" w:bidi="ar-SA"/>
              </w:rPr>
            </w:pPr>
            <w:r>
              <w:rPr>
                <w:rFonts w:ascii="Arial" w:eastAsia="Arial" w:hAnsi="Arial" w:cs="Arial"/>
                <w:sz w:val="18"/>
                <w:szCs w:val="22"/>
                <w:lang w:val="en-US" w:eastAsia="en-US" w:bidi="ar-SA"/>
              </w:rPr>
              <w:t>Amends the VPP and all planning schemes to correct an error in Clause 73.04 (nesting diagrams) by re-inserting nesting diagrams inadvertently removed through Amendment VC159.</w:t>
            </w:r>
          </w:p>
        </w:tc>
      </w:tr>
      <w:tr>
        <w:tblPrEx>
          <w:tblW w:w="0" w:type="auto"/>
          <w:tblInd w:w="12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1338"/>
        </w:trPr>
        <w:tc>
          <w:tcPr>
            <w:tcW w:w="1418" w:type="dxa"/>
            <w:tcBorders>
              <w:left w:val="nil"/>
            </w:tcBorders>
          </w:tcPr>
          <w:p w:rsidR="003C596D">
            <w:pPr>
              <w:pStyle w:val="TableParagraph"/>
              <w:spacing w:before="82"/>
              <w:ind w:left="69"/>
              <w:rPr>
                <w:rFonts w:ascii="Arial" w:eastAsia="Arial" w:hAnsi="Arial" w:cs="Arial"/>
                <w:b/>
                <w:sz w:val="18"/>
                <w:szCs w:val="22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sz w:val="18"/>
                <w:szCs w:val="22"/>
                <w:lang w:val="en-US" w:eastAsia="en-US" w:bidi="ar-SA"/>
              </w:rPr>
              <w:t>VC161</w:t>
            </w:r>
          </w:p>
        </w:tc>
        <w:tc>
          <w:tcPr>
            <w:tcW w:w="1418" w:type="dxa"/>
          </w:tcPr>
          <w:p w:rsidR="003C596D">
            <w:pPr>
              <w:pStyle w:val="TableParagraph"/>
              <w:spacing w:before="82"/>
              <w:ind w:left="59"/>
              <w:rPr>
                <w:rFonts w:ascii="Arial" w:eastAsia="Arial" w:hAnsi="Arial" w:cs="Arial"/>
                <w:sz w:val="18"/>
                <w:szCs w:val="22"/>
                <w:lang w:val="en-US" w:eastAsia="en-US" w:bidi="ar-SA"/>
              </w:rPr>
            </w:pPr>
            <w:r>
              <w:rPr>
                <w:rFonts w:ascii="Arial" w:eastAsia="Arial" w:hAnsi="Arial" w:cs="Arial"/>
                <w:sz w:val="18"/>
                <w:szCs w:val="22"/>
                <w:lang w:val="en-US" w:eastAsia="en-US" w:bidi="ar-SA"/>
              </w:rPr>
              <w:t>17 SEP 2019</w:t>
            </w:r>
          </w:p>
        </w:tc>
        <w:tc>
          <w:tcPr>
            <w:tcW w:w="5668" w:type="dxa"/>
            <w:tcBorders>
              <w:right w:val="nil"/>
            </w:tcBorders>
          </w:tcPr>
          <w:p w:rsidR="003C596D">
            <w:pPr>
              <w:pStyle w:val="TableParagraph"/>
              <w:spacing w:before="82" w:line="278" w:lineRule="auto"/>
              <w:ind w:left="60" w:right="65" w:hanging="1"/>
              <w:rPr>
                <w:rFonts w:ascii="Arial" w:eastAsia="Arial" w:hAnsi="Arial" w:cs="Arial"/>
                <w:sz w:val="18"/>
                <w:szCs w:val="22"/>
                <w:lang w:val="en-US" w:eastAsia="en-US" w:bidi="ar-SA"/>
              </w:rPr>
            </w:pPr>
            <w:r>
              <w:rPr>
                <w:rFonts w:ascii="Arial" w:eastAsia="Arial" w:hAnsi="Arial" w:cs="Arial"/>
                <w:sz w:val="18"/>
                <w:szCs w:val="22"/>
                <w:lang w:val="en-US" w:eastAsia="en-US" w:bidi="ar-SA"/>
              </w:rPr>
              <w:t>Amendment VC161 amends the Victoria Planning Provisions and all planning schemes to introduce new requirements for renewable energy facilities and a State planning policy for the protection of declared irrigation districts, and makes an administrative correction in relation to Amendment VC157.</w:t>
            </w:r>
          </w:p>
        </w:tc>
      </w:tr>
      <w:tr w:rsidTr="003F4D63">
        <w:tblPrEx>
          <w:tblW w:w="0" w:type="auto"/>
          <w:tblInd w:w="12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863"/>
        </w:trPr>
        <w:tc>
          <w:tcPr>
            <w:tcW w:w="1418" w:type="dxa"/>
            <w:tcBorders>
              <w:left w:val="nil"/>
            </w:tcBorders>
          </w:tcPr>
          <w:p w:rsidR="003C596D">
            <w:pPr>
              <w:pStyle w:val="TableParagraph"/>
              <w:spacing w:before="85"/>
              <w:ind w:left="69"/>
              <w:rPr>
                <w:rFonts w:ascii="Arial" w:eastAsia="Arial" w:hAnsi="Arial" w:cs="Arial"/>
                <w:b/>
                <w:sz w:val="18"/>
                <w:szCs w:val="22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sz w:val="18"/>
                <w:szCs w:val="22"/>
                <w:lang w:val="en-US" w:eastAsia="en-US" w:bidi="ar-SA"/>
              </w:rPr>
              <w:t>VC164</w:t>
            </w:r>
          </w:p>
        </w:tc>
        <w:tc>
          <w:tcPr>
            <w:tcW w:w="1418" w:type="dxa"/>
          </w:tcPr>
          <w:p w:rsidR="003C596D">
            <w:pPr>
              <w:pStyle w:val="TableParagraph"/>
              <w:spacing w:before="85"/>
              <w:ind w:left="59"/>
              <w:rPr>
                <w:rFonts w:ascii="Arial" w:eastAsia="Arial" w:hAnsi="Arial" w:cs="Arial"/>
                <w:sz w:val="18"/>
                <w:szCs w:val="22"/>
                <w:lang w:val="en-US" w:eastAsia="en-US" w:bidi="ar-SA"/>
              </w:rPr>
            </w:pPr>
            <w:r>
              <w:rPr>
                <w:rFonts w:ascii="Arial" w:eastAsia="Arial" w:hAnsi="Arial" w:cs="Arial"/>
                <w:sz w:val="18"/>
                <w:szCs w:val="22"/>
                <w:lang w:val="en-US" w:eastAsia="en-US" w:bidi="ar-SA"/>
              </w:rPr>
              <w:t>26 SEP 2019</w:t>
            </w:r>
          </w:p>
        </w:tc>
        <w:tc>
          <w:tcPr>
            <w:tcW w:w="5668" w:type="dxa"/>
            <w:tcBorders>
              <w:right w:val="nil"/>
            </w:tcBorders>
          </w:tcPr>
          <w:p w:rsidR="003C596D">
            <w:pPr>
              <w:pStyle w:val="TableParagraph"/>
              <w:spacing w:before="85" w:line="278" w:lineRule="auto"/>
              <w:ind w:left="60" w:right="245" w:hanging="1"/>
              <w:rPr>
                <w:rFonts w:ascii="Arial" w:eastAsia="Arial" w:hAnsi="Arial" w:cs="Arial"/>
                <w:sz w:val="18"/>
                <w:szCs w:val="22"/>
                <w:lang w:val="en-US" w:eastAsia="en-US" w:bidi="ar-SA"/>
              </w:rPr>
            </w:pPr>
            <w:r>
              <w:rPr>
                <w:rFonts w:ascii="Arial" w:eastAsia="Arial" w:hAnsi="Arial" w:cs="Arial"/>
                <w:sz w:val="18"/>
                <w:szCs w:val="22"/>
                <w:lang w:val="en-US" w:eastAsia="en-US" w:bidi="ar-SA"/>
              </w:rPr>
              <w:t>The Amendment changes the Victoria Planning Provisions and all planning schemes by amending Clause 52.13-7 (2009 Bushfire – Recovery Exemptions) to extend the expiry date to 31 March 2020.</w:t>
            </w:r>
          </w:p>
        </w:tc>
      </w:tr>
      <w:tr>
        <w:tblPrEx>
          <w:tblW w:w="0" w:type="auto"/>
          <w:tblInd w:w="12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863"/>
        </w:trPr>
        <w:tc>
          <w:tcPr>
            <w:tcW w:w="1418" w:type="dxa"/>
            <w:tcBorders>
              <w:left w:val="nil"/>
              <w:bottom w:val="single" w:sz="12" w:space="0" w:color="000000"/>
            </w:tcBorders>
          </w:tcPr>
          <w:p w:rsidR="003F4D63" w:rsidP="00E07F1C">
            <w:pPr>
              <w:pStyle w:val="TableParagraph"/>
              <w:spacing w:before="85"/>
              <w:ind w:left="69"/>
              <w:rPr>
                <w:rFonts w:ascii="Arial" w:eastAsia="Arial" w:hAnsi="Arial" w:cs="Arial"/>
                <w:b/>
                <w:sz w:val="18"/>
                <w:szCs w:val="22"/>
                <w:lang w:val="en-US" w:eastAsia="en-US" w:bidi="ar-SA"/>
              </w:rPr>
            </w:pPr>
            <w:r w:rsidRPr="003F4D63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val="en-AU" w:eastAsia="en-AU" w:bidi="ar-SA"/>
              </w:rPr>
              <w:t>C</w:t>
            </w:r>
            <w:r w:rsidR="00E07F1C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val="en-AU" w:eastAsia="en-AU" w:bidi="ar-SA"/>
              </w:rPr>
              <w:t>156egip</w:t>
            </w:r>
            <w:r w:rsidRPr="003F4D63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en-AU" w:eastAsia="en-AU" w:bidi="ar-SA"/>
              </w:rPr>
              <w:t>_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3F4D63" w:rsidRPr="003F4D63">
            <w:pPr>
              <w:pStyle w:val="TableParagraph"/>
              <w:spacing w:before="85"/>
              <w:ind w:left="59"/>
              <w:rPr>
                <w:rFonts w:ascii="Arial" w:eastAsia="Arial" w:hAnsi="Arial" w:cs="Arial"/>
                <w:color w:val="1F497D" w:themeColor="text2"/>
                <w:sz w:val="18"/>
                <w:szCs w:val="22"/>
                <w:lang w:val="en-US" w:eastAsia="en-US" w:bidi="ar-SA"/>
              </w:rPr>
            </w:pPr>
          </w:p>
        </w:tc>
        <w:tc>
          <w:tcPr>
            <w:tcW w:w="5668" w:type="dxa"/>
            <w:tcBorders>
              <w:bottom w:val="single" w:sz="12" w:space="0" w:color="000000"/>
              <w:right w:val="nil"/>
            </w:tcBorders>
          </w:tcPr>
          <w:p w:rsidR="003F4D63" w:rsidRPr="003F4D63">
            <w:pPr>
              <w:pStyle w:val="TableParagraph"/>
              <w:spacing w:before="85" w:line="278" w:lineRule="auto"/>
              <w:ind w:left="60" w:right="245" w:hanging="1"/>
              <w:rPr>
                <w:rFonts w:ascii="Arial" w:eastAsia="Arial" w:hAnsi="Arial" w:cs="Arial"/>
                <w:color w:val="0070C0"/>
                <w:sz w:val="18"/>
                <w:szCs w:val="22"/>
                <w:lang w:val="en-US" w:eastAsia="en-US" w:bidi="ar-SA"/>
              </w:rPr>
            </w:pPr>
            <w:r w:rsidRPr="003F4D63">
              <w:rPr>
                <w:rFonts w:ascii="Arial" w:eastAsia="Arial" w:hAnsi="Arial" w:cs="Arial"/>
                <w:color w:val="0070C0"/>
                <w:sz w:val="18"/>
                <w:szCs w:val="22"/>
                <w:lang w:val="en-AU" w:eastAsia="en-US" w:bidi="ar-SA"/>
              </w:rPr>
              <w:t xml:space="preserve">The Amendment inserts a new incorporated document titled </w:t>
            </w:r>
            <w:r w:rsidRPr="003F4D63">
              <w:rPr>
                <w:rFonts w:ascii="Arial" w:eastAsia="Arial" w:hAnsi="Arial" w:cs="Arial"/>
                <w:i/>
                <w:color w:val="0070C0"/>
                <w:sz w:val="18"/>
                <w:szCs w:val="22"/>
                <w:lang w:val="en-AU" w:eastAsia="en-US" w:bidi="ar-SA"/>
              </w:rPr>
              <w:t>Fingerboards Mineral Sands Project October 2018</w:t>
            </w:r>
            <w:r w:rsidRPr="003F4D63">
              <w:rPr>
                <w:rFonts w:ascii="Arial" w:eastAsia="Arial" w:hAnsi="Arial" w:cs="Arial"/>
                <w:color w:val="0070C0"/>
                <w:sz w:val="18"/>
                <w:szCs w:val="22"/>
                <w:lang w:val="en-AU" w:eastAsia="en-US" w:bidi="ar-SA"/>
              </w:rPr>
              <w:t xml:space="preserve"> into the East Gippsland Planning Scheme and introduces the Specific Sites Overlay to exempt use and development associated with the project from the need for a planning permit. The changes to the East Gippsland Planning Scheme include amending the Schedule to Clause 72.04.</w:t>
            </w:r>
          </w:p>
        </w:tc>
      </w:tr>
    </w:tbl>
    <w:p w:rsidR="00D4014B"/>
    <w:sectPr>
      <w:footerReference w:type="default" r:id="rId4"/>
      <w:pgSz w:w="11900" w:h="16840"/>
      <w:pgMar w:top="920" w:right="1580" w:bottom="720" w:left="1580" w:header="727" w:footer="53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596D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1062227</wp:posOffset>
          </wp:positionH>
          <wp:positionV relativeFrom="page">
            <wp:posOffset>10175875</wp:posOffset>
          </wp:positionV>
          <wp:extent cx="5430012" cy="6095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30012" cy="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10186035</wp:posOffset>
              </wp:positionV>
              <wp:extent cx="1031875" cy="152400"/>
              <wp:effectExtent l="1270" t="381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8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96D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 xml:space="preserve">IST OF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MENDMENTS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81.25pt;height:12pt;margin-top:802.05pt;margin-left:84.1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6192" filled="f" stroked="f">
              <v:textbox inset="0,0,0,0">
                <w:txbxContent>
                  <w:p w:rsidR="003C596D">
                    <w:pPr>
                      <w:spacing w:before="12"/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L</w:t>
                    </w:r>
                    <w:r>
                      <w:rPr>
                        <w:rFonts w:ascii="Times New Roman"/>
                        <w:sz w:val="14"/>
                      </w:rPr>
                      <w:t xml:space="preserve">IST OF </w:t>
                    </w:r>
                    <w:r>
                      <w:rPr>
                        <w:rFonts w:ascii="Times New Roman"/>
                        <w:sz w:val="18"/>
                      </w:rPr>
                      <w:t>A</w:t>
                    </w:r>
                    <w:r>
                      <w:rPr>
                        <w:rFonts w:ascii="Times New Roman"/>
                        <w:sz w:val="14"/>
                      </w:rPr>
                      <w:t>MENDMENTS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5813425</wp:posOffset>
              </wp:positionH>
              <wp:positionV relativeFrom="page">
                <wp:posOffset>10186035</wp:posOffset>
              </wp:positionV>
              <wp:extent cx="681990" cy="152400"/>
              <wp:effectExtent l="3175" t="3810" r="635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96D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 xml:space="preserve">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62A4">
                            <w:rPr>
                              <w:rFonts w:ascii="Times New Roman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2050" type="#_x0000_t202" style="width:53.7pt;height:12pt;margin-top:802.05pt;margin-left:457.7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3C596D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P</w:t>
                    </w:r>
                    <w:r>
                      <w:rPr>
                        <w:rFonts w:ascii="Times New Roman"/>
                        <w:sz w:val="14"/>
                      </w:rPr>
                      <w:t xml:space="preserve">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62A4">
                      <w:rPr>
                        <w:rFonts w:ascii="Times New Roman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 xml:space="preserve">OF </w:t>
                    </w:r>
                    <w:r>
                      <w:rPr>
                        <w:rFonts w:ascii="Times New Roman"/>
                        <w:sz w:val="18"/>
                      </w:rPr>
                      <w:t>43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6D"/>
    <w:rsid w:val="003C596D"/>
    <w:rsid w:val="003F4D63"/>
    <w:rsid w:val="008F62A4"/>
    <w:rsid w:val="00D4014B"/>
    <w:rsid w:val="00E07F1C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37B8246-31AC-42B9-BF8D-9E4B24CF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19"/>
      <w:ind w:left="3596" w:right="183" w:hanging="285"/>
    </w:pPr>
  </w:style>
  <w:style w:type="paragraph" w:customStyle="1" w:styleId="TableParagraph">
    <w:name w:val="Table Paragraph"/>
    <w:basedOn w:val="Normal"/>
    <w:uiPriority w:val="1"/>
    <w:qFormat/>
    <w:pPr>
      <w:spacing w:before="82"/>
      <w:ind w:left="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173</ap:Words>
  <ap:Characters>991</ap:Characters>
  <ap:Application>Microsoft Office Word</ap:Application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1162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2021-01-07T02:44:50Z</dcterms:created>
  <dcterms:modified xsi:type="dcterms:W3CDTF">2021-01-07T02:44:50Z</dcterms:modified>
</cp:coreProperties>
</file>